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63EB5497"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107</w:t>
      </w:r>
      <w:r w:rsidRPr="00554399">
        <w:rPr>
          <w:rFonts w:ascii="Arial" w:hAnsi="Arial" w:cs="Arial"/>
          <w:b/>
          <w:sz w:val="24"/>
          <w:szCs w:val="24"/>
        </w:rPr>
        <w:tab/>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1E3A89" w:rsidRPr="001E3A89">
        <w:rPr>
          <w:rFonts w:ascii="Arial" w:hAnsi="Arial" w:cs="Arial"/>
          <w:b/>
          <w:sz w:val="24"/>
          <w:szCs w:val="24"/>
        </w:rPr>
        <w:t>R4-2309370</w:t>
      </w:r>
    </w:p>
    <w:p w14:paraId="7A4B1CFE" w14:textId="77777777" w:rsidR="004D6DA3" w:rsidRPr="00554399" w:rsidRDefault="004D6DA3"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Incheon, South Korea, May 22 – May 26</w:t>
      </w:r>
      <w:r w:rsidRPr="00CD5A36">
        <w:rPr>
          <w:rFonts w:ascii="Arial" w:eastAsia="SimSun" w:hAnsi="Arial"/>
          <w:b/>
          <w:sz w:val="24"/>
          <w:szCs w:val="24"/>
          <w:lang w:eastAsia="zh-CN"/>
        </w:rPr>
        <w:t>, 202</w:t>
      </w:r>
      <w:r>
        <w:rPr>
          <w:rFonts w:ascii="Arial" w:eastAsia="SimSun" w:hAnsi="Arial"/>
          <w:b/>
          <w:sz w:val="24"/>
          <w:szCs w:val="24"/>
          <w:lang w:eastAsia="zh-CN"/>
        </w:rPr>
        <w:t>3</w:t>
      </w:r>
    </w:p>
    <w:p w14:paraId="2EA43BCE" w14:textId="0435C57F" w:rsidR="004D6DA3" w:rsidRPr="00303915" w:rsidRDefault="004D6DA3" w:rsidP="004D6DA3">
      <w:pPr>
        <w:pStyle w:val="CH"/>
        <w:rPr>
          <w:sz w:val="24"/>
          <w:szCs w:val="24"/>
        </w:rPr>
      </w:pPr>
      <w:r w:rsidRPr="00303915">
        <w:rPr>
          <w:sz w:val="24"/>
          <w:szCs w:val="24"/>
        </w:rPr>
        <w:t>Agenda item:</w:t>
      </w:r>
      <w:r w:rsidRPr="00303915">
        <w:rPr>
          <w:sz w:val="24"/>
          <w:szCs w:val="24"/>
        </w:rPr>
        <w:tab/>
      </w:r>
      <w:r>
        <w:rPr>
          <w:sz w:val="24"/>
          <w:szCs w:val="24"/>
        </w:rPr>
        <w:t>8</w:t>
      </w:r>
      <w:r w:rsidRPr="0087401C">
        <w:rPr>
          <w:sz w:val="24"/>
          <w:szCs w:val="24"/>
        </w:rPr>
        <w:t>.</w:t>
      </w:r>
      <w:r w:rsidR="007917E5">
        <w:rPr>
          <w:sz w:val="24"/>
          <w:szCs w:val="24"/>
        </w:rPr>
        <w:t>5</w:t>
      </w:r>
      <w:r w:rsidRPr="0087401C">
        <w:rPr>
          <w:sz w:val="24"/>
          <w:szCs w:val="24"/>
        </w:rPr>
        <w:t>.</w:t>
      </w:r>
      <w:r w:rsidR="007917E5">
        <w:rPr>
          <w:sz w:val="24"/>
          <w:szCs w:val="24"/>
        </w:rPr>
        <w:t>3.1.</w:t>
      </w:r>
      <w:r w:rsidR="00DB1DD3">
        <w:rPr>
          <w:sz w:val="24"/>
          <w:szCs w:val="24"/>
        </w:rPr>
        <w:t>1</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7F07C642"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C916F2">
        <w:rPr>
          <w:sz w:val="24"/>
          <w:szCs w:val="24"/>
        </w:rPr>
        <w:t>On the Applicability Rules for PDCCH Requirements for</w:t>
      </w:r>
      <w:r>
        <w:rPr>
          <w:sz w:val="24"/>
          <w:szCs w:val="24"/>
        </w:rPr>
        <w:t xml:space="preserve"> 8RX UEs</w:t>
      </w:r>
      <w:r w:rsidR="00C916F2">
        <w:rPr>
          <w:sz w:val="24"/>
          <w:szCs w:val="24"/>
        </w:rPr>
        <w:t xml:space="preserve"> in FR1</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D22BBD" w14:textId="3A5B9462" w:rsidR="00D359CD" w:rsidRDefault="00BB462E" w:rsidP="00844233">
      <w:pPr>
        <w:pStyle w:val="Default"/>
        <w:jc w:val="both"/>
        <w:rPr>
          <w:rFonts w:ascii="Times New Roman" w:eastAsia="MS Mincho" w:hAnsi="Times New Roman" w:cs="Times New Roman"/>
          <w:color w:val="auto"/>
          <w:sz w:val="20"/>
          <w:szCs w:val="20"/>
          <w:lang w:val="en-GB"/>
        </w:rPr>
      </w:pPr>
      <w:r>
        <w:rPr>
          <w:rFonts w:ascii="Times New Roman" w:eastAsia="MS Mincho" w:hAnsi="Times New Roman" w:cs="Times New Roman"/>
          <w:color w:val="auto"/>
          <w:sz w:val="20"/>
          <w:szCs w:val="20"/>
          <w:lang w:val="en-GB"/>
        </w:rPr>
        <w:t>During RAN4#106 and RAN4#106bis-e the applicability rules for PDSCH have been discussed and settled, based on the only three additional requirements added specifically for 8Rx UEs. For PDDCH, no additional requirements will be added. However, one remaining item is the definition of the corresponding applicability rules.</w:t>
      </w:r>
    </w:p>
    <w:p w14:paraId="59156DA8" w14:textId="261CB23B" w:rsidR="00844233" w:rsidRDefault="00844233" w:rsidP="00844233">
      <w:pPr>
        <w:pStyle w:val="Default"/>
        <w:jc w:val="both"/>
        <w:rPr>
          <w:rFonts w:ascii="Times New Roman" w:eastAsia="SimSun" w:hAnsi="Times New Roman" w:cs="Times New Roman"/>
          <w:color w:val="auto"/>
          <w:sz w:val="20"/>
          <w:szCs w:val="20"/>
          <w:lang w:val="en-GB"/>
        </w:rPr>
      </w:pPr>
    </w:p>
    <w:p w14:paraId="40EA501F" w14:textId="3A7D0B46" w:rsidR="002E5420" w:rsidRPr="008E72E8" w:rsidRDefault="001E661D" w:rsidP="008E72E8">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0FC6F7B8" w14:textId="042E0942" w:rsidR="00794B47" w:rsidRPr="008E72E8" w:rsidRDefault="008E72E8" w:rsidP="008E72E8">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During </w:t>
      </w:r>
      <w:r>
        <w:rPr>
          <w:rFonts w:eastAsia="MS Mincho"/>
        </w:rPr>
        <w:t>RAN4#106bis-e</w:t>
      </w:r>
      <w:r>
        <w:rPr>
          <w:rFonts w:eastAsiaTheme="minorEastAsia" w:cs="SimSun"/>
          <w:bCs/>
          <w:lang w:eastAsia="zh-TW"/>
        </w:rPr>
        <w:t xml:space="preserve"> we agreed on </w:t>
      </w:r>
      <w:r w:rsidRPr="008E72E8">
        <w:rPr>
          <w:rFonts w:eastAsiaTheme="minorEastAsia" w:cs="SimSun"/>
          <w:bCs/>
          <w:lang w:eastAsia="zh-TW"/>
        </w:rPr>
        <w:t>PDSCH test applicability rules</w:t>
      </w:r>
      <w:r>
        <w:rPr>
          <w:rFonts w:eastAsiaTheme="minorEastAsia" w:cs="SimSun"/>
          <w:bCs/>
          <w:lang w:eastAsia="zh-TW"/>
        </w:rPr>
        <w:t>. The proposed applicability sures are quite similar, with the difference that no new additional PDCCH requirements have been defined for 8Rx UEs.</w:t>
      </w:r>
    </w:p>
    <w:p w14:paraId="18952B1F" w14:textId="0E4DB745" w:rsidR="008E72E8" w:rsidRDefault="008E72E8" w:rsidP="008E72E8">
      <w:pPr>
        <w:spacing w:beforeLines="50" w:before="120" w:afterLines="50" w:after="120"/>
        <w:jc w:val="both"/>
        <w:rPr>
          <w:rFonts w:eastAsiaTheme="minorEastAsia" w:cs="SimSun"/>
          <w:b/>
          <w:lang w:eastAsia="zh-TW"/>
        </w:rPr>
      </w:pPr>
      <w:r>
        <w:rPr>
          <w:rFonts w:eastAsiaTheme="minorEastAsia" w:cs="SimSun"/>
          <w:b/>
          <w:lang w:eastAsia="zh-TW"/>
        </w:rPr>
        <w:t>Observation#1</w:t>
      </w:r>
      <w:r w:rsidRPr="0043701E">
        <w:rPr>
          <w:rFonts w:eastAsiaTheme="minorEastAsia" w:cs="SimSun"/>
          <w:b/>
          <w:lang w:eastAsia="zh-TW"/>
        </w:rPr>
        <w:t xml:space="preserve">: </w:t>
      </w:r>
      <w:r>
        <w:rPr>
          <w:rFonts w:eastAsiaTheme="minorEastAsia" w:cs="SimSun"/>
          <w:b/>
          <w:lang w:eastAsia="zh-TW"/>
        </w:rPr>
        <w:t>Case4 for PDSCH and</w:t>
      </w:r>
      <w:r w:rsidRPr="0043701E">
        <w:rPr>
          <w:rFonts w:eastAsiaTheme="minorEastAsia" w:cs="SimSun"/>
          <w:b/>
          <w:lang w:eastAsia="zh-TW"/>
        </w:rPr>
        <w:t xml:space="preserve"> PDCCH </w:t>
      </w:r>
      <w:r>
        <w:rPr>
          <w:rFonts w:eastAsiaTheme="minorEastAsia" w:cs="SimSun"/>
          <w:b/>
          <w:lang w:eastAsia="zh-TW"/>
        </w:rPr>
        <w:t xml:space="preserve">only differ that in PDSCH applicability rules we require that the </w:t>
      </w:r>
      <w:r w:rsidRPr="008E72E8">
        <w:rPr>
          <w:rFonts w:eastAsiaTheme="minorEastAsia" w:cs="SimSun"/>
          <w:b/>
          <w:lang w:eastAsia="zh-TW"/>
        </w:rPr>
        <w:t>SNR requirements should be applied with 1.5 dB less than the number specified for 4Rx tests.</w:t>
      </w:r>
    </w:p>
    <w:p w14:paraId="258CBD4A" w14:textId="72A48FDE" w:rsidR="00794B47" w:rsidRPr="00794B47" w:rsidRDefault="00794B47" w:rsidP="00794B47">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 xml:space="preserve">Proposal#1: Define PDCCH </w:t>
      </w:r>
      <w:r w:rsidR="008E72E8">
        <w:rPr>
          <w:rFonts w:eastAsiaTheme="minorEastAsia" w:cs="SimSun"/>
          <w:b/>
          <w:lang w:eastAsia="zh-TW"/>
        </w:rPr>
        <w:t>applicability rules as stated in the previous way forward.</w:t>
      </w:r>
    </w:p>
    <w:p w14:paraId="652D733F" w14:textId="5107B63E" w:rsidR="00BB462E" w:rsidRPr="00BB462E" w:rsidRDefault="00BB462E" w:rsidP="00BB462E">
      <w:pPr>
        <w:spacing w:after="120"/>
        <w:rPr>
          <w:rFonts w:eastAsia="SimSun"/>
          <w:szCs w:val="24"/>
          <w:lang w:eastAsia="zh-CN"/>
        </w:rPr>
      </w:pPr>
    </w:p>
    <w:tbl>
      <w:tblPr>
        <w:tblStyle w:val="TableGrid"/>
        <w:tblW w:w="0" w:type="auto"/>
        <w:tblInd w:w="279" w:type="dxa"/>
        <w:tblLook w:val="04A0" w:firstRow="1" w:lastRow="0" w:firstColumn="1" w:lastColumn="0" w:noHBand="0" w:noVBand="1"/>
      </w:tblPr>
      <w:tblGrid>
        <w:gridCol w:w="3852"/>
        <w:gridCol w:w="2749"/>
        <w:gridCol w:w="2749"/>
      </w:tblGrid>
      <w:tr w:rsidR="00BB462E" w14:paraId="10111F63" w14:textId="77777777" w:rsidTr="00FB4F51">
        <w:tc>
          <w:tcPr>
            <w:tcW w:w="0" w:type="auto"/>
          </w:tcPr>
          <w:p w14:paraId="1BAB15D9" w14:textId="77777777" w:rsidR="00BB462E" w:rsidRDefault="00BB462E" w:rsidP="00FB4F51">
            <w:pPr>
              <w:jc w:val="center"/>
              <w:rPr>
                <w:rFonts w:eastAsiaTheme="minorEastAsia"/>
                <w:b/>
                <w:lang w:val="en-US" w:eastAsia="zh-CN"/>
              </w:rPr>
            </w:pPr>
            <w:r>
              <w:rPr>
                <w:rFonts w:eastAsia="STXihei"/>
                <w:b/>
                <w:bCs/>
                <w:color w:val="000000" w:themeColor="text1"/>
                <w:kern w:val="24"/>
                <w:lang w:val="en-US" w:eastAsia="zh-CN"/>
              </w:rPr>
              <w:t>Cases</w:t>
            </w:r>
          </w:p>
        </w:tc>
        <w:tc>
          <w:tcPr>
            <w:tcW w:w="0" w:type="auto"/>
          </w:tcPr>
          <w:p w14:paraId="0D71F722" w14:textId="77777777" w:rsidR="00BB462E" w:rsidRDefault="00BB462E" w:rsidP="00FB4F51">
            <w:pPr>
              <w:jc w:val="center"/>
              <w:rPr>
                <w:rFonts w:eastAsiaTheme="minorEastAsia"/>
                <w:b/>
                <w:lang w:val="en-US" w:eastAsia="zh-CN"/>
              </w:rPr>
            </w:pPr>
            <w:r>
              <w:rPr>
                <w:rFonts w:eastAsia="STXihei"/>
                <w:b/>
                <w:bCs/>
                <w:color w:val="000000" w:themeColor="text1"/>
                <w:kern w:val="24"/>
                <w:lang w:val="en-US" w:eastAsia="zh-CN"/>
              </w:rPr>
              <w:t>2Rx test in section 5.3.2 in TS 38.101-4</w:t>
            </w:r>
          </w:p>
        </w:tc>
        <w:tc>
          <w:tcPr>
            <w:tcW w:w="0" w:type="auto"/>
          </w:tcPr>
          <w:p w14:paraId="682289E6" w14:textId="77777777" w:rsidR="00BB462E" w:rsidRDefault="00BB462E" w:rsidP="00FB4F51">
            <w:pPr>
              <w:jc w:val="center"/>
              <w:rPr>
                <w:rFonts w:eastAsiaTheme="minorEastAsia"/>
                <w:b/>
                <w:lang w:val="en-US" w:eastAsia="zh-CN"/>
              </w:rPr>
            </w:pPr>
            <w:r>
              <w:rPr>
                <w:rFonts w:eastAsia="STXihei"/>
                <w:b/>
                <w:bCs/>
                <w:color w:val="000000" w:themeColor="text1"/>
                <w:kern w:val="24"/>
                <w:lang w:val="en-US" w:eastAsia="zh-CN"/>
              </w:rPr>
              <w:t>4Rx test in section 5.3.3 in TS 38.101-4</w:t>
            </w:r>
          </w:p>
        </w:tc>
      </w:tr>
      <w:tr w:rsidR="00BB462E" w14:paraId="30D20E62" w14:textId="77777777" w:rsidTr="00FB4F51">
        <w:tc>
          <w:tcPr>
            <w:tcW w:w="0" w:type="auto"/>
          </w:tcPr>
          <w:p w14:paraId="7BEDE2D7" w14:textId="77777777" w:rsidR="00BB462E" w:rsidRDefault="00BB462E" w:rsidP="00FB4F51">
            <w:pPr>
              <w:rPr>
                <w:rFonts w:eastAsiaTheme="minorEastAsia"/>
                <w:lang w:val="en-US" w:eastAsia="zh-CN"/>
              </w:rPr>
            </w:pPr>
            <w:r>
              <w:rPr>
                <w:rFonts w:eastAsiaTheme="minorEastAsia"/>
                <w:lang w:val="en-US" w:eastAsia="zh-CN"/>
              </w:rPr>
              <w:t>8Rx UE supporting both 2Rx and 4Rx band</w:t>
            </w:r>
          </w:p>
        </w:tc>
        <w:tc>
          <w:tcPr>
            <w:tcW w:w="0" w:type="auto"/>
          </w:tcPr>
          <w:p w14:paraId="7024560D"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c>
          <w:tcPr>
            <w:tcW w:w="0" w:type="auto"/>
          </w:tcPr>
          <w:p w14:paraId="3D062BFB"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r>
      <w:tr w:rsidR="00BB462E" w14:paraId="325EE3F6" w14:textId="77777777" w:rsidTr="00FB4F51">
        <w:tc>
          <w:tcPr>
            <w:tcW w:w="0" w:type="auto"/>
          </w:tcPr>
          <w:p w14:paraId="057E830C" w14:textId="77777777" w:rsidR="00BB462E" w:rsidRDefault="00BB462E" w:rsidP="00FB4F51">
            <w:pPr>
              <w:rPr>
                <w:rFonts w:eastAsiaTheme="minorEastAsia"/>
                <w:b/>
                <w:lang w:val="en-US" w:eastAsia="zh-CN"/>
              </w:rPr>
            </w:pPr>
            <w:r>
              <w:rPr>
                <w:rFonts w:eastAsiaTheme="minorEastAsia"/>
                <w:lang w:val="en-US" w:eastAsia="zh-CN"/>
              </w:rPr>
              <w:t>8Rx UE supporting 4Rx band but not supporting 2Rx band</w:t>
            </w:r>
          </w:p>
        </w:tc>
        <w:tc>
          <w:tcPr>
            <w:tcW w:w="0" w:type="auto"/>
          </w:tcPr>
          <w:p w14:paraId="617614BC"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c>
          <w:tcPr>
            <w:tcW w:w="0" w:type="auto"/>
          </w:tcPr>
          <w:p w14:paraId="0A06650A"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r>
      <w:tr w:rsidR="00BB462E" w14:paraId="11D4FEB1" w14:textId="77777777" w:rsidTr="00FB4F51">
        <w:tc>
          <w:tcPr>
            <w:tcW w:w="0" w:type="auto"/>
          </w:tcPr>
          <w:p w14:paraId="7D5C1819" w14:textId="77777777" w:rsidR="00BB462E" w:rsidRDefault="00BB462E" w:rsidP="00FB4F51">
            <w:pPr>
              <w:rPr>
                <w:rFonts w:eastAsiaTheme="minorEastAsia"/>
                <w:b/>
                <w:lang w:val="en-US" w:eastAsia="zh-CN"/>
              </w:rPr>
            </w:pPr>
            <w:r>
              <w:rPr>
                <w:rFonts w:eastAsiaTheme="minorEastAsia"/>
                <w:lang w:val="en-US" w:eastAsia="zh-CN"/>
              </w:rPr>
              <w:t>8Rx UE supporting 2Rx band but not supporting 4Rx band</w:t>
            </w:r>
          </w:p>
        </w:tc>
        <w:tc>
          <w:tcPr>
            <w:tcW w:w="0" w:type="auto"/>
          </w:tcPr>
          <w:p w14:paraId="51157F13"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c>
          <w:tcPr>
            <w:tcW w:w="0" w:type="auto"/>
          </w:tcPr>
          <w:p w14:paraId="40B8EFD1"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r>
      <w:tr w:rsidR="00BB462E" w14:paraId="75985157" w14:textId="77777777" w:rsidTr="00FB4F51">
        <w:tc>
          <w:tcPr>
            <w:tcW w:w="0" w:type="auto"/>
          </w:tcPr>
          <w:p w14:paraId="333B9701" w14:textId="77777777" w:rsidR="00BB462E" w:rsidRDefault="00BB462E" w:rsidP="00FB4F51">
            <w:pPr>
              <w:rPr>
                <w:rFonts w:eastAsiaTheme="minorEastAsia"/>
                <w:b/>
                <w:lang w:val="en-US" w:eastAsia="zh-CN"/>
              </w:rPr>
            </w:pPr>
            <w:r>
              <w:rPr>
                <w:rFonts w:eastAsiaTheme="minorEastAsia"/>
                <w:lang w:val="en-US" w:eastAsia="zh-CN"/>
              </w:rPr>
              <w:t>8Rx UE not supporting both 2Rx band and 4Rx band</w:t>
            </w:r>
          </w:p>
        </w:tc>
        <w:tc>
          <w:tcPr>
            <w:tcW w:w="0" w:type="auto"/>
          </w:tcPr>
          <w:p w14:paraId="101CDEE1"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c>
          <w:tcPr>
            <w:tcW w:w="0" w:type="auto"/>
          </w:tcPr>
          <w:p w14:paraId="3E9F053A" w14:textId="77777777" w:rsidR="00BB462E" w:rsidRDefault="00BB462E" w:rsidP="00FB4F51">
            <w:pPr>
              <w:jc w:val="center"/>
              <w:rPr>
                <w:rFonts w:eastAsiaTheme="minorEastAsia"/>
                <w:b/>
                <w:lang w:val="en-US" w:eastAsia="zh-CN"/>
              </w:rPr>
            </w:pPr>
            <w:r>
              <w:rPr>
                <w:rFonts w:eastAsia="STXihei"/>
                <w:color w:val="000000" w:themeColor="text1"/>
                <w:kern w:val="24"/>
                <w:lang w:val="en-US" w:eastAsia="zh-CN"/>
              </w:rPr>
              <w:t>√</w:t>
            </w:r>
          </w:p>
        </w:tc>
      </w:tr>
    </w:tbl>
    <w:p w14:paraId="6F757D8C" w14:textId="77777777" w:rsidR="00BB462E" w:rsidRDefault="00BB462E" w:rsidP="00BB462E">
      <w:pPr>
        <w:pStyle w:val="ListParagraph"/>
        <w:spacing w:after="120"/>
        <w:rPr>
          <w:rFonts w:eastAsia="SimSun"/>
          <w:szCs w:val="24"/>
          <w:lang w:eastAsia="zh-CN"/>
        </w:rPr>
      </w:pPr>
    </w:p>
    <w:tbl>
      <w:tblPr>
        <w:tblStyle w:val="TableGrid"/>
        <w:tblW w:w="0" w:type="auto"/>
        <w:tblInd w:w="137" w:type="dxa"/>
        <w:tblLook w:val="04A0" w:firstRow="1" w:lastRow="0" w:firstColumn="1" w:lastColumn="0" w:noHBand="0" w:noVBand="1"/>
      </w:tblPr>
      <w:tblGrid>
        <w:gridCol w:w="9492"/>
      </w:tblGrid>
      <w:tr w:rsidR="00BB462E" w14:paraId="1DEDA3CC" w14:textId="77777777" w:rsidTr="00FB4F51">
        <w:tc>
          <w:tcPr>
            <w:tcW w:w="9494" w:type="dxa"/>
          </w:tcPr>
          <w:p w14:paraId="095E694F" w14:textId="77777777" w:rsidR="00BB462E" w:rsidRDefault="00BB462E" w:rsidP="00FB4F51">
            <w:pPr>
              <w:jc w:val="both"/>
              <w:rPr>
                <w:rFonts w:eastAsiaTheme="minorEastAsia"/>
                <w:lang w:eastAsia="zh-CN"/>
              </w:rPr>
            </w:pPr>
            <w:r>
              <w:rPr>
                <w:rFonts w:eastAsiaTheme="minorEastAsia"/>
                <w:lang w:eastAsia="zh-CN"/>
              </w:rPr>
              <w:t>Use PDCCH test applicability rules as follows:</w:t>
            </w:r>
          </w:p>
          <w:p w14:paraId="05FAC283" w14:textId="09A41057" w:rsidR="00BB462E" w:rsidRDefault="00BB462E" w:rsidP="00BB462E">
            <w:pPr>
              <w:pStyle w:val="ListParagraph"/>
              <w:widowControl w:val="0"/>
              <w:numPr>
                <w:ilvl w:val="0"/>
                <w:numId w:val="48"/>
              </w:numPr>
              <w:autoSpaceDE w:val="0"/>
              <w:autoSpaceDN w:val="0"/>
              <w:adjustRightInd w:val="0"/>
              <w:ind w:leftChars="0"/>
              <w:jc w:val="both"/>
              <w:rPr>
                <w:rFonts w:eastAsiaTheme="minorEastAsia"/>
              </w:rPr>
            </w:pPr>
            <w:r w:rsidRPr="00BB462E">
              <w:rPr>
                <w:rFonts w:eastAsiaTheme="minorEastAsia"/>
                <w:u w:val="single"/>
              </w:rPr>
              <w:t>Case1 and Case2</w:t>
            </w:r>
            <w:r>
              <w:rPr>
                <w:rFonts w:eastAsiaTheme="minorEastAsia"/>
              </w:rPr>
              <w:t xml:space="preserve">: For 8RX capable UEs support only 4Rx bands or both 2RX and 4RX bands, all single carrier test cases specified in 5.3.3.1 and 5.3.3.2 with 4Rx are tested on any of the 4Rx supported RF bands by connecting 4 out of 8 Rx with data source from system simulator, and the other 4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4Rx should be applied. </w:t>
            </w:r>
          </w:p>
          <w:p w14:paraId="0004C1A8" w14:textId="77777777" w:rsidR="00BB462E" w:rsidRDefault="00BB462E" w:rsidP="00BB462E">
            <w:pPr>
              <w:pStyle w:val="ListParagraph"/>
              <w:widowControl w:val="0"/>
              <w:numPr>
                <w:ilvl w:val="0"/>
                <w:numId w:val="48"/>
              </w:numPr>
              <w:autoSpaceDE w:val="0"/>
              <w:autoSpaceDN w:val="0"/>
              <w:adjustRightInd w:val="0"/>
              <w:ind w:leftChars="0"/>
              <w:jc w:val="both"/>
              <w:rPr>
                <w:rFonts w:eastAsiaTheme="minorEastAsia"/>
              </w:rPr>
            </w:pPr>
            <w:r w:rsidRPr="00BB462E">
              <w:rPr>
                <w:rFonts w:eastAsiaTheme="minorEastAsia"/>
                <w:u w:val="single"/>
              </w:rPr>
              <w:t>Case3</w:t>
            </w:r>
            <w:r>
              <w:rPr>
                <w:rFonts w:eastAsiaTheme="minorEastAsia"/>
              </w:rPr>
              <w:t xml:space="preserve">: For 8RX capable UEs support only 2Rx bands, all single carrier test cases specified in 5.3.2.1 and 5.3.2.2 with 2Rx are tested on any of the 2Rx supported RF bands by connecting 2 out of 8 Rx with data source from system simulator, and the other 6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2Rx should be applied. </w:t>
            </w:r>
          </w:p>
          <w:p w14:paraId="518607FF" w14:textId="77777777" w:rsidR="00BB462E" w:rsidRDefault="00BB462E" w:rsidP="00BB462E">
            <w:pPr>
              <w:pStyle w:val="ListParagraph"/>
              <w:widowControl w:val="0"/>
              <w:numPr>
                <w:ilvl w:val="0"/>
                <w:numId w:val="48"/>
              </w:numPr>
              <w:autoSpaceDE w:val="0"/>
              <w:autoSpaceDN w:val="0"/>
              <w:adjustRightInd w:val="0"/>
              <w:ind w:leftChars="0"/>
              <w:jc w:val="both"/>
              <w:rPr>
                <w:rFonts w:eastAsiaTheme="minorEastAsia"/>
              </w:rPr>
            </w:pPr>
            <w:r w:rsidRPr="00BB462E">
              <w:rPr>
                <w:rFonts w:eastAsiaTheme="minorEastAsia"/>
                <w:u w:val="single"/>
              </w:rPr>
              <w:t>Case4</w:t>
            </w:r>
            <w:r>
              <w:rPr>
                <w:rFonts w:eastAsiaTheme="minorEastAsia"/>
              </w:rPr>
              <w:t>: For 8RX capable UEs without support of any 4Rx and 2Rx bands, all single carrier test cases specified in 5.3.3.1 and 5.3.3.2 with 4Rx are tested on any of the 8Rx supported RF bands</w:t>
            </w:r>
            <w:r>
              <w:t xml:space="preserve"> by duplicating the fading channel from each Tx antenna and add independent noise for each Rx antenna. </w:t>
            </w:r>
            <w:r>
              <w:rPr>
                <w:rFonts w:eastAsiaTheme="minorEastAsia"/>
              </w:rPr>
              <w:t xml:space="preserve">Same requirements specified </w:t>
            </w:r>
            <w:r>
              <w:rPr>
                <w:rFonts w:eastAsiaTheme="minorEastAsia"/>
              </w:rPr>
              <w:lastRenderedPageBreak/>
              <w:t xml:space="preserve">with 4Rx should be applied. </w:t>
            </w:r>
          </w:p>
        </w:tc>
      </w:tr>
    </w:tbl>
    <w:p w14:paraId="23B51A09" w14:textId="77777777" w:rsidR="00BB462E" w:rsidRPr="00F163AC" w:rsidRDefault="00BB462E" w:rsidP="00F163AC">
      <w:pPr>
        <w:jc w:val="both"/>
        <w:rPr>
          <w:rFonts w:eastAsia="SimSun"/>
          <w:bCs/>
          <w:lang w:val="en-US" w:eastAsia="zh-CN"/>
        </w:rPr>
      </w:pP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2AC48AB" w14:textId="7525CAEB" w:rsidR="00751C1C" w:rsidRPr="00DC5B13" w:rsidRDefault="00DC5B13" w:rsidP="00DC5B13">
      <w:pPr>
        <w:jc w:val="both"/>
        <w:rPr>
          <w:rFonts w:eastAsiaTheme="minorEastAsia"/>
          <w:bCs/>
          <w:iCs/>
          <w:lang w:val="en-US" w:eastAsia="zh-TW"/>
        </w:rPr>
      </w:pPr>
      <w:r>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196B190F" w14:textId="77777777" w:rsidR="008E72E8" w:rsidRDefault="008E72E8" w:rsidP="008E72E8">
      <w:pPr>
        <w:spacing w:beforeLines="50" w:before="120" w:afterLines="50" w:after="120"/>
        <w:jc w:val="both"/>
        <w:rPr>
          <w:rFonts w:eastAsiaTheme="minorEastAsia" w:cs="SimSun"/>
          <w:b/>
          <w:lang w:eastAsia="zh-TW"/>
        </w:rPr>
      </w:pPr>
      <w:r>
        <w:rPr>
          <w:rFonts w:eastAsiaTheme="minorEastAsia" w:cs="SimSun"/>
          <w:b/>
          <w:lang w:eastAsia="zh-TW"/>
        </w:rPr>
        <w:t>Observation#1</w:t>
      </w:r>
      <w:r w:rsidRPr="0043701E">
        <w:rPr>
          <w:rFonts w:eastAsiaTheme="minorEastAsia" w:cs="SimSun"/>
          <w:b/>
          <w:lang w:eastAsia="zh-TW"/>
        </w:rPr>
        <w:t xml:space="preserve">: </w:t>
      </w:r>
      <w:r>
        <w:rPr>
          <w:rFonts w:eastAsiaTheme="minorEastAsia" w:cs="SimSun"/>
          <w:b/>
          <w:lang w:eastAsia="zh-TW"/>
        </w:rPr>
        <w:t>Case4 for PDSCH and</w:t>
      </w:r>
      <w:r w:rsidRPr="0043701E">
        <w:rPr>
          <w:rFonts w:eastAsiaTheme="minorEastAsia" w:cs="SimSun"/>
          <w:b/>
          <w:lang w:eastAsia="zh-TW"/>
        </w:rPr>
        <w:t xml:space="preserve"> PDCCH </w:t>
      </w:r>
      <w:r>
        <w:rPr>
          <w:rFonts w:eastAsiaTheme="minorEastAsia" w:cs="SimSun"/>
          <w:b/>
          <w:lang w:eastAsia="zh-TW"/>
        </w:rPr>
        <w:t xml:space="preserve">only differ that in PDSCH applicability rules we require that the </w:t>
      </w:r>
      <w:r w:rsidRPr="008E72E8">
        <w:rPr>
          <w:rFonts w:eastAsiaTheme="minorEastAsia" w:cs="SimSun"/>
          <w:b/>
          <w:lang w:eastAsia="zh-TW"/>
        </w:rPr>
        <w:t>SNR requirements should be applied with 1.5 dB less than the number specified for 4Rx tests.</w:t>
      </w:r>
    </w:p>
    <w:p w14:paraId="1712C498" w14:textId="77777777" w:rsidR="008E72E8" w:rsidRPr="00794B47" w:rsidRDefault="008E72E8" w:rsidP="008E72E8">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 xml:space="preserve">Proposal#1: Define PDCCH </w:t>
      </w:r>
      <w:r>
        <w:rPr>
          <w:rFonts w:eastAsiaTheme="minorEastAsia" w:cs="SimSun"/>
          <w:b/>
          <w:lang w:eastAsia="zh-TW"/>
        </w:rPr>
        <w:t>applicability rules as stated in the previous way forward.</w:t>
      </w:r>
    </w:p>
    <w:p w14:paraId="7639C4DF" w14:textId="77777777" w:rsidR="00D94999" w:rsidRPr="00AB3AF1" w:rsidRDefault="00D94999" w:rsidP="00EE74D2">
      <w:pPr>
        <w:jc w:val="both"/>
        <w:rPr>
          <w:rFonts w:eastAsia="SimSun"/>
          <w:bCs/>
          <w:lang w:eastAsia="zh-CN"/>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49F979CB" w:rsidR="000A231E" w:rsidRPr="00C916F2" w:rsidRDefault="00C916F2" w:rsidP="00C916F2">
      <w:pPr>
        <w:numPr>
          <w:ilvl w:val="0"/>
          <w:numId w:val="2"/>
        </w:numPr>
        <w:jc w:val="both"/>
        <w:rPr>
          <w:rFonts w:eastAsiaTheme="minorEastAsia"/>
          <w:lang w:eastAsia="zh-CN"/>
        </w:rPr>
      </w:pPr>
      <w:r w:rsidRPr="00C916F2">
        <w:rPr>
          <w:rFonts w:eastAsiaTheme="minorEastAsia"/>
          <w:bCs/>
          <w:lang w:eastAsia="zh-CN"/>
        </w:rPr>
        <w:t>R4-2305888,</w:t>
      </w:r>
      <w:r w:rsidRPr="00C916F2">
        <w:rPr>
          <w:rFonts w:eastAsiaTheme="minorEastAsia"/>
          <w:lang w:eastAsia="zh-CN"/>
        </w:rPr>
        <w:t xml:space="preserve"> “WF on 8RX UE performance requirements”, Huawei, </w:t>
      </w:r>
      <w:proofErr w:type="spellStart"/>
      <w:r w:rsidRPr="00C916F2">
        <w:rPr>
          <w:rFonts w:eastAsiaTheme="minorEastAsia"/>
          <w:lang w:eastAsia="zh-CN"/>
        </w:rPr>
        <w:t>HiSilicon</w:t>
      </w:r>
      <w:proofErr w:type="spellEnd"/>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67E6" w14:textId="77777777" w:rsidR="00363B13" w:rsidRDefault="00363B13" w:rsidP="000A231E">
      <w:pPr>
        <w:spacing w:after="0"/>
      </w:pPr>
      <w:r>
        <w:separator/>
      </w:r>
    </w:p>
  </w:endnote>
  <w:endnote w:type="continuationSeparator" w:id="0">
    <w:p w14:paraId="091F70F0" w14:textId="77777777" w:rsidR="00363B13" w:rsidRDefault="00363B1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 w:name="STXihei">
    <w:altName w:val="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3D6F" w14:textId="77777777" w:rsidR="00363B13" w:rsidRDefault="00363B13" w:rsidP="000A231E">
      <w:pPr>
        <w:spacing w:after="0"/>
      </w:pPr>
      <w:r>
        <w:separator/>
      </w:r>
    </w:p>
  </w:footnote>
  <w:footnote w:type="continuationSeparator" w:id="0">
    <w:p w14:paraId="4DB171AF" w14:textId="77777777" w:rsidR="00363B13" w:rsidRDefault="00363B1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FF291E"/>
    <w:multiLevelType w:val="hybridMultilevel"/>
    <w:tmpl w:val="6DEEE1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8F62CD"/>
    <w:multiLevelType w:val="multilevel"/>
    <w:tmpl w:val="4112D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9"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1F1EFF"/>
    <w:multiLevelType w:val="multilevel"/>
    <w:tmpl w:val="BBEC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2169200">
    <w:abstractNumId w:val="20"/>
  </w:num>
  <w:num w:numId="2" w16cid:durableId="1854997855">
    <w:abstractNumId w:val="34"/>
  </w:num>
  <w:num w:numId="3" w16cid:durableId="2126580217">
    <w:abstractNumId w:val="10"/>
  </w:num>
  <w:num w:numId="4" w16cid:durableId="1199469603">
    <w:abstractNumId w:val="25"/>
  </w:num>
  <w:num w:numId="5" w16cid:durableId="976184863">
    <w:abstractNumId w:val="3"/>
  </w:num>
  <w:num w:numId="6" w16cid:durableId="1696036931">
    <w:abstractNumId w:val="44"/>
  </w:num>
  <w:num w:numId="7" w16cid:durableId="686516209">
    <w:abstractNumId w:val="11"/>
  </w:num>
  <w:num w:numId="8" w16cid:durableId="2057922014">
    <w:abstractNumId w:val="17"/>
  </w:num>
  <w:num w:numId="9" w16cid:durableId="423838429">
    <w:abstractNumId w:val="2"/>
  </w:num>
  <w:num w:numId="10" w16cid:durableId="187764942">
    <w:abstractNumId w:val="29"/>
  </w:num>
  <w:num w:numId="11" w16cid:durableId="199171740">
    <w:abstractNumId w:val="40"/>
  </w:num>
  <w:num w:numId="12" w16cid:durableId="503710582">
    <w:abstractNumId w:val="21"/>
  </w:num>
  <w:num w:numId="13" w16cid:durableId="308099533">
    <w:abstractNumId w:val="27"/>
  </w:num>
  <w:num w:numId="14" w16cid:durableId="473568304">
    <w:abstractNumId w:val="41"/>
  </w:num>
  <w:num w:numId="15" w16cid:durableId="2077511674">
    <w:abstractNumId w:val="28"/>
  </w:num>
  <w:num w:numId="16" w16cid:durableId="349531655">
    <w:abstractNumId w:val="16"/>
  </w:num>
  <w:num w:numId="17" w16cid:durableId="270358942">
    <w:abstractNumId w:val="6"/>
  </w:num>
  <w:num w:numId="18" w16cid:durableId="1039084338">
    <w:abstractNumId w:val="8"/>
  </w:num>
  <w:num w:numId="19" w16cid:durableId="61804329">
    <w:abstractNumId w:val="15"/>
  </w:num>
  <w:num w:numId="20" w16cid:durableId="1885097479">
    <w:abstractNumId w:val="26"/>
  </w:num>
  <w:num w:numId="21" w16cid:durableId="1065832254">
    <w:abstractNumId w:val="30"/>
  </w:num>
  <w:num w:numId="22" w16cid:durableId="237836214">
    <w:abstractNumId w:val="1"/>
  </w:num>
  <w:num w:numId="23" w16cid:durableId="1980265343">
    <w:abstractNumId w:val="9"/>
  </w:num>
  <w:num w:numId="24" w16cid:durableId="1454248970">
    <w:abstractNumId w:val="5"/>
  </w:num>
  <w:num w:numId="25" w16cid:durableId="388118187">
    <w:abstractNumId w:val="22"/>
  </w:num>
  <w:num w:numId="26" w16cid:durableId="246496306">
    <w:abstractNumId w:val="45"/>
  </w:num>
  <w:num w:numId="27" w16cid:durableId="476263457">
    <w:abstractNumId w:val="4"/>
  </w:num>
  <w:num w:numId="28" w16cid:durableId="916787262">
    <w:abstractNumId w:val="19"/>
  </w:num>
  <w:num w:numId="29" w16cid:durableId="597130908">
    <w:abstractNumId w:val="38"/>
  </w:num>
  <w:num w:numId="30" w16cid:durableId="643310922">
    <w:abstractNumId w:val="23"/>
  </w:num>
  <w:num w:numId="31" w16cid:durableId="1770274252">
    <w:abstractNumId w:val="31"/>
  </w:num>
  <w:num w:numId="32" w16cid:durableId="1813595596">
    <w:abstractNumId w:val="18"/>
  </w:num>
  <w:num w:numId="33" w16cid:durableId="1140462402">
    <w:abstractNumId w:val="7"/>
  </w:num>
  <w:num w:numId="34" w16cid:durableId="1328242483">
    <w:abstractNumId w:val="24"/>
  </w:num>
  <w:num w:numId="35" w16cid:durableId="1573276893">
    <w:abstractNumId w:val="32"/>
  </w:num>
  <w:num w:numId="36" w16cid:durableId="1664813524">
    <w:abstractNumId w:val="14"/>
  </w:num>
  <w:num w:numId="37" w16cid:durableId="225460277">
    <w:abstractNumId w:val="33"/>
  </w:num>
  <w:num w:numId="38" w16cid:durableId="1271624333">
    <w:abstractNumId w:val="37"/>
  </w:num>
  <w:num w:numId="39" w16cid:durableId="1674458176">
    <w:abstractNumId w:val="42"/>
  </w:num>
  <w:num w:numId="40" w16cid:durableId="506218438">
    <w:abstractNumId w:val="35"/>
  </w:num>
  <w:num w:numId="41" w16cid:durableId="1221791576">
    <w:abstractNumId w:val="39"/>
  </w:num>
  <w:num w:numId="42" w16cid:durableId="2088964320">
    <w:abstractNumId w:val="13"/>
  </w:num>
  <w:num w:numId="43" w16cid:durableId="2058123482">
    <w:abstractNumId w:val="0"/>
  </w:num>
  <w:num w:numId="44" w16cid:durableId="1579245648">
    <w:abstractNumId w:val="12"/>
  </w:num>
  <w:num w:numId="45" w16cid:durableId="1895039062">
    <w:abstractNumId w:val="46"/>
  </w:num>
  <w:num w:numId="46" w16cid:durableId="1335496675">
    <w:abstractNumId w:val="43"/>
  </w:num>
  <w:num w:numId="47" w16cid:durableId="958220919">
    <w:abstractNumId w:val="36"/>
  </w:num>
  <w:num w:numId="48" w16cid:durableId="172625079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6B43"/>
    <w:rsid w:val="00026BC6"/>
    <w:rsid w:val="000271F9"/>
    <w:rsid w:val="000355F5"/>
    <w:rsid w:val="000416F2"/>
    <w:rsid w:val="00042103"/>
    <w:rsid w:val="000467CD"/>
    <w:rsid w:val="00060164"/>
    <w:rsid w:val="00061B73"/>
    <w:rsid w:val="00071A5F"/>
    <w:rsid w:val="0007243E"/>
    <w:rsid w:val="00072DFA"/>
    <w:rsid w:val="000730C6"/>
    <w:rsid w:val="00075C68"/>
    <w:rsid w:val="00076EB8"/>
    <w:rsid w:val="00076F2B"/>
    <w:rsid w:val="00076F82"/>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452"/>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1D31"/>
    <w:rsid w:val="001839FC"/>
    <w:rsid w:val="00192DE6"/>
    <w:rsid w:val="001A4263"/>
    <w:rsid w:val="001A48BA"/>
    <w:rsid w:val="001B0EB1"/>
    <w:rsid w:val="001B4039"/>
    <w:rsid w:val="001B6EE6"/>
    <w:rsid w:val="001C0B49"/>
    <w:rsid w:val="001C4999"/>
    <w:rsid w:val="001C4E07"/>
    <w:rsid w:val="001E1407"/>
    <w:rsid w:val="001E397C"/>
    <w:rsid w:val="001E3A89"/>
    <w:rsid w:val="001E40D6"/>
    <w:rsid w:val="001E6263"/>
    <w:rsid w:val="001E661D"/>
    <w:rsid w:val="001F3227"/>
    <w:rsid w:val="001F4EB6"/>
    <w:rsid w:val="001F64D8"/>
    <w:rsid w:val="002003A9"/>
    <w:rsid w:val="00207257"/>
    <w:rsid w:val="00210944"/>
    <w:rsid w:val="00214C88"/>
    <w:rsid w:val="002209C6"/>
    <w:rsid w:val="00220ECC"/>
    <w:rsid w:val="0022162B"/>
    <w:rsid w:val="0022219C"/>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93021"/>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83F"/>
    <w:rsid w:val="0036041A"/>
    <w:rsid w:val="003605C1"/>
    <w:rsid w:val="00363B13"/>
    <w:rsid w:val="0036663C"/>
    <w:rsid w:val="0036753F"/>
    <w:rsid w:val="0037236D"/>
    <w:rsid w:val="00372944"/>
    <w:rsid w:val="003771E4"/>
    <w:rsid w:val="00391B68"/>
    <w:rsid w:val="00396DDB"/>
    <w:rsid w:val="00397844"/>
    <w:rsid w:val="003A3B11"/>
    <w:rsid w:val="003A61DF"/>
    <w:rsid w:val="003B0630"/>
    <w:rsid w:val="003B5679"/>
    <w:rsid w:val="003B7EAC"/>
    <w:rsid w:val="003C06FB"/>
    <w:rsid w:val="003C2F82"/>
    <w:rsid w:val="003C3988"/>
    <w:rsid w:val="003C452F"/>
    <w:rsid w:val="003C55B6"/>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246E1"/>
    <w:rsid w:val="00427E5B"/>
    <w:rsid w:val="00431E9F"/>
    <w:rsid w:val="00432715"/>
    <w:rsid w:val="00433705"/>
    <w:rsid w:val="0043701E"/>
    <w:rsid w:val="00437F7B"/>
    <w:rsid w:val="00442396"/>
    <w:rsid w:val="004507F9"/>
    <w:rsid w:val="00452D67"/>
    <w:rsid w:val="00454BAD"/>
    <w:rsid w:val="00457613"/>
    <w:rsid w:val="0046003E"/>
    <w:rsid w:val="00471E5D"/>
    <w:rsid w:val="004738ED"/>
    <w:rsid w:val="00475270"/>
    <w:rsid w:val="00481ABC"/>
    <w:rsid w:val="00481ED8"/>
    <w:rsid w:val="00481FE1"/>
    <w:rsid w:val="0048669D"/>
    <w:rsid w:val="00487107"/>
    <w:rsid w:val="00493A8C"/>
    <w:rsid w:val="004959DC"/>
    <w:rsid w:val="004A6E47"/>
    <w:rsid w:val="004A788E"/>
    <w:rsid w:val="004B4E7E"/>
    <w:rsid w:val="004B714B"/>
    <w:rsid w:val="004C3BE9"/>
    <w:rsid w:val="004C77F2"/>
    <w:rsid w:val="004D0E73"/>
    <w:rsid w:val="004D1411"/>
    <w:rsid w:val="004D1FDD"/>
    <w:rsid w:val="004D6DA3"/>
    <w:rsid w:val="004E2E52"/>
    <w:rsid w:val="004E6006"/>
    <w:rsid w:val="004E629A"/>
    <w:rsid w:val="004F0B3E"/>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3D4D"/>
    <w:rsid w:val="00595378"/>
    <w:rsid w:val="005A7B76"/>
    <w:rsid w:val="005B14E5"/>
    <w:rsid w:val="005B33C9"/>
    <w:rsid w:val="005B4268"/>
    <w:rsid w:val="005B6832"/>
    <w:rsid w:val="005B75B0"/>
    <w:rsid w:val="005B7D92"/>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41DFC"/>
    <w:rsid w:val="00647819"/>
    <w:rsid w:val="006671DB"/>
    <w:rsid w:val="006676E5"/>
    <w:rsid w:val="0067354B"/>
    <w:rsid w:val="0067582F"/>
    <w:rsid w:val="00683BAD"/>
    <w:rsid w:val="0068481B"/>
    <w:rsid w:val="00684826"/>
    <w:rsid w:val="00692017"/>
    <w:rsid w:val="006925AE"/>
    <w:rsid w:val="006956BC"/>
    <w:rsid w:val="006A4EC7"/>
    <w:rsid w:val="006A57AD"/>
    <w:rsid w:val="006B5B32"/>
    <w:rsid w:val="006C06B9"/>
    <w:rsid w:val="006C1145"/>
    <w:rsid w:val="006C196B"/>
    <w:rsid w:val="006C737C"/>
    <w:rsid w:val="006D03B1"/>
    <w:rsid w:val="006D392E"/>
    <w:rsid w:val="006E233D"/>
    <w:rsid w:val="006E46D2"/>
    <w:rsid w:val="006F10F8"/>
    <w:rsid w:val="006F40DD"/>
    <w:rsid w:val="00700A4F"/>
    <w:rsid w:val="007050F8"/>
    <w:rsid w:val="007115F5"/>
    <w:rsid w:val="0072063B"/>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5B7"/>
    <w:rsid w:val="007917E5"/>
    <w:rsid w:val="00794B4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E55"/>
    <w:rsid w:val="008E4C8F"/>
    <w:rsid w:val="008E72E8"/>
    <w:rsid w:val="008E7515"/>
    <w:rsid w:val="008F452B"/>
    <w:rsid w:val="009023E3"/>
    <w:rsid w:val="0091528D"/>
    <w:rsid w:val="00916780"/>
    <w:rsid w:val="00927E2F"/>
    <w:rsid w:val="00933349"/>
    <w:rsid w:val="00944BA0"/>
    <w:rsid w:val="00954EA5"/>
    <w:rsid w:val="00956934"/>
    <w:rsid w:val="009602EF"/>
    <w:rsid w:val="009716AF"/>
    <w:rsid w:val="0097640D"/>
    <w:rsid w:val="00977BDB"/>
    <w:rsid w:val="009825CD"/>
    <w:rsid w:val="00983378"/>
    <w:rsid w:val="009A290E"/>
    <w:rsid w:val="009A4651"/>
    <w:rsid w:val="009A51E5"/>
    <w:rsid w:val="009B04E0"/>
    <w:rsid w:val="009B3B03"/>
    <w:rsid w:val="009B3F1F"/>
    <w:rsid w:val="009C0DE2"/>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B002AD"/>
    <w:rsid w:val="00B03153"/>
    <w:rsid w:val="00B04D3D"/>
    <w:rsid w:val="00B1289E"/>
    <w:rsid w:val="00B16D75"/>
    <w:rsid w:val="00B20AF3"/>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63A6"/>
    <w:rsid w:val="00BA054E"/>
    <w:rsid w:val="00BA3396"/>
    <w:rsid w:val="00BA4086"/>
    <w:rsid w:val="00BB1C61"/>
    <w:rsid w:val="00BB462E"/>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916F2"/>
    <w:rsid w:val="00C95EBB"/>
    <w:rsid w:val="00C9639B"/>
    <w:rsid w:val="00C96C9D"/>
    <w:rsid w:val="00CB6E99"/>
    <w:rsid w:val="00CB75B9"/>
    <w:rsid w:val="00CC71D6"/>
    <w:rsid w:val="00CD1575"/>
    <w:rsid w:val="00CD2F3F"/>
    <w:rsid w:val="00CE24AB"/>
    <w:rsid w:val="00CE7ECC"/>
    <w:rsid w:val="00CF08C1"/>
    <w:rsid w:val="00CF18BE"/>
    <w:rsid w:val="00CF1E95"/>
    <w:rsid w:val="00D01C55"/>
    <w:rsid w:val="00D035C2"/>
    <w:rsid w:val="00D07E5E"/>
    <w:rsid w:val="00D1106F"/>
    <w:rsid w:val="00D35160"/>
    <w:rsid w:val="00D359CD"/>
    <w:rsid w:val="00D51890"/>
    <w:rsid w:val="00D537F6"/>
    <w:rsid w:val="00D60E75"/>
    <w:rsid w:val="00D64FB2"/>
    <w:rsid w:val="00D67F1E"/>
    <w:rsid w:val="00D70B47"/>
    <w:rsid w:val="00D728B8"/>
    <w:rsid w:val="00D7312C"/>
    <w:rsid w:val="00D76302"/>
    <w:rsid w:val="00D768F5"/>
    <w:rsid w:val="00D8239C"/>
    <w:rsid w:val="00D83B82"/>
    <w:rsid w:val="00D84005"/>
    <w:rsid w:val="00D856FB"/>
    <w:rsid w:val="00D86D01"/>
    <w:rsid w:val="00D93216"/>
    <w:rsid w:val="00D94668"/>
    <w:rsid w:val="00D94999"/>
    <w:rsid w:val="00D95D8B"/>
    <w:rsid w:val="00DA133F"/>
    <w:rsid w:val="00DB1DD3"/>
    <w:rsid w:val="00DC2122"/>
    <w:rsid w:val="00DC2753"/>
    <w:rsid w:val="00DC5B13"/>
    <w:rsid w:val="00DD47E2"/>
    <w:rsid w:val="00DD51A9"/>
    <w:rsid w:val="00DD5302"/>
    <w:rsid w:val="00DD5A12"/>
    <w:rsid w:val="00DD5DAE"/>
    <w:rsid w:val="00E02338"/>
    <w:rsid w:val="00E062D2"/>
    <w:rsid w:val="00E1304E"/>
    <w:rsid w:val="00E22D8B"/>
    <w:rsid w:val="00E24DBC"/>
    <w:rsid w:val="00E315DA"/>
    <w:rsid w:val="00E35FD9"/>
    <w:rsid w:val="00E37526"/>
    <w:rsid w:val="00E3776F"/>
    <w:rsid w:val="00E455A3"/>
    <w:rsid w:val="00E46535"/>
    <w:rsid w:val="00E50883"/>
    <w:rsid w:val="00E512B4"/>
    <w:rsid w:val="00E51AE5"/>
    <w:rsid w:val="00E52965"/>
    <w:rsid w:val="00E65ABC"/>
    <w:rsid w:val="00E65B3D"/>
    <w:rsid w:val="00E770CE"/>
    <w:rsid w:val="00E91210"/>
    <w:rsid w:val="00E95707"/>
    <w:rsid w:val="00E97173"/>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918C6"/>
    <w:rsid w:val="00FA0911"/>
    <w:rsid w:val="00FA6470"/>
    <w:rsid w:val="00FA666F"/>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92635808">
      <w:bodyDiv w:val="1"/>
      <w:marLeft w:val="0"/>
      <w:marRight w:val="0"/>
      <w:marTop w:val="0"/>
      <w:marBottom w:val="0"/>
      <w:divBdr>
        <w:top w:val="none" w:sz="0" w:space="0" w:color="auto"/>
        <w:left w:val="none" w:sz="0" w:space="0" w:color="auto"/>
        <w:bottom w:val="none" w:sz="0" w:space="0" w:color="auto"/>
        <w:right w:val="none" w:sz="0" w:space="0" w:color="auto"/>
      </w:divBdr>
      <w:divsChild>
        <w:div w:id="1215702584">
          <w:marLeft w:val="0"/>
          <w:marRight w:val="0"/>
          <w:marTop w:val="0"/>
          <w:marBottom w:val="0"/>
          <w:divBdr>
            <w:top w:val="none" w:sz="0" w:space="0" w:color="auto"/>
            <w:left w:val="none" w:sz="0" w:space="0" w:color="auto"/>
            <w:bottom w:val="none" w:sz="0" w:space="0" w:color="auto"/>
            <w:right w:val="none" w:sz="0" w:space="0" w:color="auto"/>
          </w:divBdr>
          <w:divsChild>
            <w:div w:id="701201529">
              <w:marLeft w:val="0"/>
              <w:marRight w:val="0"/>
              <w:marTop w:val="0"/>
              <w:marBottom w:val="0"/>
              <w:divBdr>
                <w:top w:val="none" w:sz="0" w:space="0" w:color="auto"/>
                <w:left w:val="none" w:sz="0" w:space="0" w:color="auto"/>
                <w:bottom w:val="none" w:sz="0" w:space="0" w:color="auto"/>
                <w:right w:val="none" w:sz="0" w:space="0" w:color="auto"/>
              </w:divBdr>
              <w:divsChild>
                <w:div w:id="106105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 (r_bettancourt)</cp:lastModifiedBy>
  <cp:revision>3</cp:revision>
  <dcterms:created xsi:type="dcterms:W3CDTF">2023-05-15T18:06:00Z</dcterms:created>
  <dcterms:modified xsi:type="dcterms:W3CDTF">2023-05-15T18:11:00Z</dcterms:modified>
</cp:coreProperties>
</file>